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DD1AD0E">
      <w:pPr>
        <w:jc w:val="center"/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  <w:lang w:val="en-US" w:eastAsia="zh-CN"/>
        </w:rPr>
      </w:pPr>
      <w:bookmarkStart w:id="1" w:name="_GoBack"/>
      <w:bookmarkEnd w:id="1"/>
      <w:r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  <w:lang w:val="en-US" w:eastAsia="zh-CN"/>
        </w:rPr>
        <w:t>起草说明</w:t>
      </w:r>
    </w:p>
    <w:p w14:paraId="3DBD3D8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</w:p>
    <w:p w14:paraId="77463CB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为进一步规范和加强余杭区政府投资基金的运作与管理，更好地发挥政府投资基金的引领撬动作用，提高基金投资运作效率，结合我区实际，拟修订完善和出台《余杭区区级政府投资基金管理办法》（以下简称《管理办法》），现将起草情况说明如下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：</w:t>
      </w:r>
    </w:p>
    <w:p w14:paraId="0ACD467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textAlignment w:val="auto"/>
        <w:outlineLvl w:val="0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一、</w:t>
      </w: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制定</w:t>
      </w:r>
      <w:r>
        <w:rPr>
          <w:rFonts w:hint="default" w:ascii="Times New Roman" w:hAnsi="Times New Roman" w:eastAsia="黑体" w:cs="Times New Roman"/>
          <w:sz w:val="32"/>
          <w:szCs w:val="32"/>
        </w:rPr>
        <w:t>背景</w:t>
      </w:r>
    </w:p>
    <w:p w14:paraId="1F40134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2025年1月，</w:t>
      </w:r>
      <w:r>
        <w:rPr>
          <w:rFonts w:hint="eastAsia" w:ascii="仿宋_GB2312" w:hAnsi="仿宋_GB2312" w:eastAsia="仿宋_GB2312" w:cs="仿宋_GB2312"/>
          <w:sz w:val="32"/>
          <w:szCs w:val="32"/>
        </w:rPr>
        <w:t>国务院办公厅发布《关于促进政府投资基金高质量发展的指导意见》</w:t>
      </w:r>
      <w:bookmarkStart w:id="0" w:name="OLE_LINK4"/>
      <w:r>
        <w:rPr>
          <w:rFonts w:hint="eastAsia" w:ascii="仿宋_GB2312" w:hAnsi="仿宋_GB2312" w:eastAsia="仿宋_GB2312" w:cs="仿宋_GB2312"/>
          <w:sz w:val="32"/>
          <w:szCs w:val="32"/>
        </w:rPr>
        <w:t>（国办发〔2025〕1号</w:t>
      </w:r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同年4月，</w:t>
      </w:r>
      <w:r>
        <w:rPr>
          <w:rFonts w:hint="eastAsia" w:ascii="仿宋_GB2312" w:hAnsi="仿宋_GB2312" w:eastAsia="仿宋_GB2312" w:cs="仿宋_GB2312"/>
          <w:sz w:val="32"/>
          <w:szCs w:val="32"/>
        </w:rPr>
        <w:t>浙江省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人民</w:t>
      </w:r>
      <w:r>
        <w:rPr>
          <w:rFonts w:hint="eastAsia" w:ascii="仿宋_GB2312" w:hAnsi="仿宋_GB2312" w:eastAsia="仿宋_GB2312" w:cs="仿宋_GB2312"/>
          <w:sz w:val="32"/>
          <w:szCs w:val="32"/>
        </w:rPr>
        <w:t>政府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办公厅发布《</w:t>
      </w:r>
      <w:r>
        <w:rPr>
          <w:rFonts w:hint="eastAsia" w:ascii="仿宋_GB2312" w:hAnsi="仿宋_GB2312" w:eastAsia="仿宋_GB2312" w:cs="仿宋_GB2312"/>
          <w:sz w:val="32"/>
          <w:szCs w:val="32"/>
        </w:rPr>
        <w:t>关于促进政府投资基金高质量发展的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实施意见》</w:t>
      </w:r>
      <w:r>
        <w:rPr>
          <w:rFonts w:hint="eastAsia" w:ascii="仿宋_GB2312" w:hAnsi="仿宋_GB2312" w:eastAsia="仿宋_GB2312" w:cs="仿宋_GB2312"/>
          <w:sz w:val="32"/>
          <w:szCs w:val="32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浙政办函</w:t>
      </w:r>
      <w:r>
        <w:rPr>
          <w:rFonts w:hint="eastAsia" w:ascii="仿宋_GB2312" w:hAnsi="仿宋_GB2312" w:eastAsia="仿宋_GB2312" w:cs="仿宋_GB2312"/>
          <w:sz w:val="32"/>
          <w:szCs w:val="32"/>
        </w:rPr>
        <w:t>〔2025〕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</w:t>
      </w:r>
      <w:r>
        <w:rPr>
          <w:rFonts w:hint="eastAsia" w:ascii="仿宋_GB2312" w:hAnsi="仿宋_GB2312" w:eastAsia="仿宋_GB2312" w:cs="仿宋_GB2312"/>
          <w:sz w:val="32"/>
          <w:szCs w:val="32"/>
        </w:rPr>
        <w:t>号）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。根据上级文件精神和我区政府投资基金发展规划，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鉴于原</w:t>
      </w:r>
      <w:r>
        <w:rPr>
          <w:rFonts w:hint="eastAsia" w:ascii="仿宋_GB2312" w:hAnsi="仿宋_GB2312" w:eastAsia="仿宋_GB2312" w:cs="仿宋_GB2312"/>
          <w:sz w:val="32"/>
          <w:szCs w:val="32"/>
        </w:rPr>
        <w:t>《余杭区产业基金实施意见》（余政发〔2022〕11号）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已无法匹配当前基金管理工作的新要求，区财政局主动对标政策、聚焦产业需求、规范管理流程</w:t>
      </w:r>
      <w:r>
        <w:rPr>
          <w:rFonts w:hint="eastAsia" w:ascii="仿宋_GB2312" w:hAnsi="仿宋_GB2312" w:eastAsia="仿宋_GB2312" w:cs="仿宋_GB2312"/>
          <w:sz w:val="32"/>
          <w:szCs w:val="32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拟修订完善和出台《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余杭区区级政府投资基金管理办法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》，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进一步</w:t>
      </w:r>
      <w:r>
        <w:rPr>
          <w:rFonts w:hint="eastAsia" w:ascii="仿宋_GB2312" w:hAnsi="仿宋_GB2312" w:eastAsia="仿宋_GB2312" w:cs="仿宋_GB2312"/>
          <w:sz w:val="32"/>
          <w:szCs w:val="32"/>
        </w:rPr>
        <w:t>构建更加科学高效的政府投资基金管理体系，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为推动我区政府投资基金高质量发展、助力产业提质升级提供制度支撑。</w:t>
      </w:r>
    </w:p>
    <w:p w14:paraId="58762D9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textAlignment w:val="auto"/>
        <w:outlineLvl w:val="0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二、</w:t>
      </w: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制定</w:t>
      </w:r>
      <w:r>
        <w:rPr>
          <w:rFonts w:hint="default" w:ascii="Times New Roman" w:hAnsi="Times New Roman" w:eastAsia="黑体" w:cs="Times New Roman"/>
          <w:sz w:val="32"/>
          <w:szCs w:val="32"/>
        </w:rPr>
        <w:t>依据</w:t>
      </w:r>
    </w:p>
    <w:p w14:paraId="05601DF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textAlignment w:val="auto"/>
        <w:outlineLvl w:val="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.</w:t>
      </w:r>
      <w:r>
        <w:rPr>
          <w:rFonts w:hint="eastAsia" w:ascii="仿宋_GB2312" w:hAnsi="仿宋_GB2312" w:eastAsia="仿宋_GB2312" w:cs="仿宋_GB2312"/>
          <w:sz w:val="32"/>
          <w:szCs w:val="32"/>
        </w:rPr>
        <w:t>《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国务院办公厅</w:t>
      </w:r>
      <w:r>
        <w:rPr>
          <w:rFonts w:hint="eastAsia" w:ascii="仿宋_GB2312" w:hAnsi="仿宋_GB2312" w:eastAsia="仿宋_GB2312" w:cs="仿宋_GB2312"/>
          <w:sz w:val="32"/>
          <w:szCs w:val="32"/>
        </w:rPr>
        <w:t>关于促进政府投资基金高质量发展的指导意见》（国办发〔2025〕1号）</w:t>
      </w:r>
    </w:p>
    <w:p w14:paraId="6FDE5D6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textAlignment w:val="auto"/>
        <w:outlineLvl w:val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2.《浙江省人民政府办公厅</w:t>
      </w:r>
      <w:r>
        <w:rPr>
          <w:rFonts w:hint="eastAsia" w:ascii="仿宋_GB2312" w:hAnsi="仿宋_GB2312" w:eastAsia="仿宋_GB2312" w:cs="仿宋_GB2312"/>
          <w:sz w:val="32"/>
          <w:szCs w:val="32"/>
        </w:rPr>
        <w:t>关于促进政府投资基金高质量发展的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实施意见》</w:t>
      </w:r>
      <w:r>
        <w:rPr>
          <w:rFonts w:hint="eastAsia" w:ascii="仿宋_GB2312" w:hAnsi="仿宋_GB2312" w:eastAsia="仿宋_GB2312" w:cs="仿宋_GB2312"/>
          <w:sz w:val="32"/>
          <w:szCs w:val="32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浙政办函</w:t>
      </w:r>
      <w:r>
        <w:rPr>
          <w:rFonts w:hint="eastAsia" w:ascii="仿宋_GB2312" w:hAnsi="仿宋_GB2312" w:eastAsia="仿宋_GB2312" w:cs="仿宋_GB2312"/>
          <w:sz w:val="32"/>
          <w:szCs w:val="32"/>
        </w:rPr>
        <w:t>〔2025〕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</w:t>
      </w:r>
      <w:r>
        <w:rPr>
          <w:rFonts w:hint="eastAsia" w:ascii="仿宋_GB2312" w:hAnsi="仿宋_GB2312" w:eastAsia="仿宋_GB2312" w:cs="仿宋_GB2312"/>
          <w:sz w:val="32"/>
          <w:szCs w:val="32"/>
        </w:rPr>
        <w:t>号）</w:t>
      </w:r>
    </w:p>
    <w:p w14:paraId="4799FEF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textAlignment w:val="auto"/>
        <w:outlineLvl w:val="0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三、主要内容</w:t>
      </w:r>
    </w:p>
    <w:p w14:paraId="16E67B1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管理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办法</w:t>
      </w:r>
      <w:r>
        <w:rPr>
          <w:rFonts w:hint="eastAsia" w:ascii="仿宋_GB2312" w:hAnsi="仿宋_GB2312" w:eastAsia="仿宋_GB2312" w:cs="仿宋_GB2312"/>
          <w:sz w:val="32"/>
          <w:szCs w:val="32"/>
        </w:rPr>
        <w:t>由总则、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资金来源、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组织架构和部门职责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、投资方向和要求、运作模式、投资项目退出、费用收益管理</w:t>
      </w:r>
      <w:r>
        <w:rPr>
          <w:rFonts w:hint="eastAsia" w:ascii="仿宋_GB2312" w:hAnsi="仿宋_GB2312" w:eastAsia="仿宋_GB2312" w:cs="仿宋_GB2312"/>
          <w:sz w:val="32"/>
          <w:szCs w:val="32"/>
        </w:rPr>
        <w:t>、风险防控和考核评价、附则等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九</w:t>
      </w:r>
      <w:r>
        <w:rPr>
          <w:rFonts w:hint="eastAsia" w:ascii="仿宋_GB2312" w:hAnsi="仿宋_GB2312" w:eastAsia="仿宋_GB2312" w:cs="仿宋_GB2312"/>
          <w:sz w:val="32"/>
          <w:szCs w:val="32"/>
        </w:rPr>
        <w:t>个方面构成。</w:t>
      </w:r>
    </w:p>
    <w:p w14:paraId="5D29D5E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一是明确总体要求。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按照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  <w:lang w:eastAsia="zh-CN"/>
        </w:rPr>
        <w:t>“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政府引导、市场运作、分类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  <w:lang w:val="en-US"/>
        </w:rPr>
        <w:t>监管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、防控风险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  <w:lang w:eastAsia="zh-CN"/>
        </w:rPr>
        <w:t>”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的原则，贯彻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  <w:lang w:val="en-US" w:eastAsia="zh-CN"/>
        </w:rPr>
        <w:t>区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委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  <w:lang w:val="en-US" w:eastAsia="zh-CN"/>
        </w:rPr>
        <w:t>区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政府重大战略部署，实现政府引导与市场化运作的有效结合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优化产业投资类基金功能，找准功能定位，</w:t>
      </w:r>
      <w:r>
        <w:rPr>
          <w:rFonts w:hint="eastAsia" w:ascii="Times New Roman" w:hAnsi="Times New Roman" w:eastAsia="仿宋_GB2312" w:cs="Times New Roman"/>
          <w:spacing w:val="0"/>
          <w:sz w:val="32"/>
          <w:szCs w:val="32"/>
          <w:lang w:val="en-US" w:eastAsia="zh-CN"/>
        </w:rPr>
        <w:t>聚焦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  <w:lang w:val="en-US"/>
        </w:rPr>
        <w:t>重要性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</w:rPr>
        <w:t>、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  <w:lang w:val="en-US"/>
        </w:rPr>
        <w:t>前瞻性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</w:rPr>
        <w:t>、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  <w:lang w:val="en-US"/>
        </w:rPr>
        <w:t>稳定性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</w:rPr>
        <w:t>，有效引领</w:t>
      </w:r>
      <w:r>
        <w:rPr>
          <w:rFonts w:hint="eastAsia" w:ascii="Times New Roman" w:hAnsi="Times New Roman" w:eastAsia="仿宋_GB2312" w:cs="Times New Roman"/>
          <w:spacing w:val="0"/>
          <w:sz w:val="32"/>
          <w:szCs w:val="32"/>
          <w:lang w:eastAsia="zh-CN"/>
        </w:rPr>
        <w:t>区域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  <w:lang w:val="en-US"/>
        </w:rPr>
        <w:t>科技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</w:rPr>
        <w:t>创新和产业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  <w:lang w:val="en-US"/>
        </w:rPr>
        <w:t>稳健发展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</w:rPr>
        <w:t>。</w:t>
      </w:r>
    </w:p>
    <w:p w14:paraId="19431DB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二是完善分级分类管理机制。明确对基金设立的分级管理要求，进一步调整组织架构、细化职责分工，持续完善不同类型基金差异化管理机制。</w:t>
      </w:r>
    </w:p>
    <w:p w14:paraId="0A75BA6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三是规范基金运作管理，优化基金投资方式，健全基金绩效管理，建立健全容错机制，优化基金发展环境。规范基金退出管理，拓宽基金退出渠道，完善基金退出机制。</w:t>
      </w:r>
    </w:p>
    <w:p w14:paraId="0C2D131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</w:pPr>
    </w:p>
    <w:p w14:paraId="155E7D59"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27DED44"/>
    <w:multiLevelType w:val="multilevel"/>
    <w:tmpl w:val="D27DED44"/>
    <w:lvl w:ilvl="0" w:tentative="0">
      <w:start w:val="1"/>
      <w:numFmt w:val="japaneseCounting"/>
      <w:pStyle w:val="2"/>
      <w:lvlText w:val="%1、"/>
      <w:lvlJc w:val="left"/>
      <w:pPr>
        <w:ind w:left="720" w:hanging="7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FDFFD6CF"/>
    <w:rsid w:val="3FFA61EA"/>
    <w:rsid w:val="52F647C1"/>
    <w:rsid w:val="FDFFD6CF"/>
    <w:rsid w:val="FFFB2BE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numPr>
        <w:ilvl w:val="0"/>
        <w:numId w:val="1"/>
      </w:numPr>
      <w:spacing w:line="590" w:lineRule="exact"/>
      <w:ind w:left="0" w:firstLine="856" w:firstLineChars="200"/>
      <w:outlineLvl w:val="0"/>
    </w:pPr>
    <w:rPr>
      <w:rFonts w:ascii="Times New Roman" w:hAnsi="Times New Roman" w:eastAsia="黑体" w:cs="Times New Roman"/>
      <w:sz w:val="32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Style w:val="3"/>
      <w:tblCellMar>
        <w:top w:w="0" w:type="dxa"/>
        <w:left w:w="108" w:type="dxa"/>
        <w:bottom w:w="0" w:type="dxa"/>
        <w:right w:w="108" w:type="dxa"/>
      </w:tblCellMar>
    </w:tbl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812</Words>
  <Characters>835</Characters>
  <Lines>0</Lines>
  <Paragraphs>0</Paragraphs>
  <TotalTime>32.3333333333333</TotalTime>
  <ScaleCrop>false</ScaleCrop>
  <LinksUpToDate>false</LinksUpToDate>
  <CharactersWithSpaces>835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2025-10-10T18:13:00Z</dcterms:created>
  <dc:creator>韩柠蔚</dc:creator>
  <cp:lastModifiedBy>茜</cp:lastModifiedBy>
  <cp:lastPrinted>2025-10-10T11:18:55Z</cp:lastPrinted>
  <dcterms:modified xsi:type="dcterms:W3CDTF">2025-10-11T01:36:17Z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F4138C3E18E946F5B771BDD37C94ECA8_13</vt:lpwstr>
  </property>
</Properties>
</file>